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89" w:rsidRPr="004E0642" w:rsidRDefault="00664589" w:rsidP="00664589">
      <w:pPr>
        <w:pStyle w:val="Heading2"/>
        <w:jc w:val="both"/>
        <w:rPr>
          <w:rFonts w:ascii="Times New Roman" w:hAnsi="Times New Roman"/>
        </w:rPr>
      </w:pPr>
      <w:r>
        <w:rPr>
          <w:rFonts w:ascii="Times New Roman" w:hAnsi="Times New Roman"/>
        </w:rPr>
        <w:t xml:space="preserve">7. </w:t>
      </w:r>
      <w:r w:rsidRPr="004E0642">
        <w:rPr>
          <w:rFonts w:ascii="Times New Roman" w:hAnsi="Times New Roman"/>
        </w:rPr>
        <w:t xml:space="preserve">Thủ tục phê duyệt kế hoạch ứng phó sự cố bức xạ và hạt nhân cấp cơ sở </w:t>
      </w:r>
      <w:r w:rsidRPr="004E0642">
        <w:rPr>
          <w:rFonts w:ascii="Times New Roman" w:hAnsi="Times New Roman"/>
          <w:b w:val="0"/>
        </w:rPr>
        <w:t>(</w:t>
      </w:r>
      <w:r w:rsidRPr="004E0642">
        <w:rPr>
          <w:rFonts w:ascii="Times New Roman" w:hAnsi="Times New Roman"/>
          <w:b w:val="0"/>
          <w:i/>
        </w:rPr>
        <w:t xml:space="preserve">đối với công việc sử dụng thiết bị X-quang chẩn đoán trong y tế) </w:t>
      </w:r>
      <w:r w:rsidRPr="004E0642">
        <w:rPr>
          <w:rFonts w:ascii="Times New Roman" w:hAnsi="Times New Roman"/>
          <w:b w:val="0"/>
          <w:i/>
          <w:lang w:val="pt-BR"/>
        </w:rPr>
        <w:t>(</w:t>
      </w:r>
      <w:r w:rsidRPr="004E0642">
        <w:rPr>
          <w:rFonts w:ascii="Times New Roman" w:hAnsi="Times New Roman"/>
          <w:b w:val="0"/>
          <w:i/>
          <w:lang w:val="vi-VN"/>
        </w:rPr>
        <w:t>Quyết định số</w:t>
      </w:r>
      <w:r w:rsidRPr="004E0642">
        <w:rPr>
          <w:rFonts w:ascii="Times New Roman" w:hAnsi="Times New Roman"/>
          <w:b w:val="0"/>
          <w:i/>
        </w:rPr>
        <w:t xml:space="preserve"> 1972</w:t>
      </w:r>
      <w:r w:rsidRPr="004E0642">
        <w:rPr>
          <w:rFonts w:ascii="Times New Roman" w:hAnsi="Times New Roman"/>
          <w:b w:val="0"/>
          <w:i/>
          <w:lang w:val="vi-VN"/>
        </w:rPr>
        <w:t>/QĐ-BKHCN Ngày</w:t>
      </w:r>
      <w:r w:rsidRPr="004E0642">
        <w:rPr>
          <w:rFonts w:ascii="Times New Roman" w:hAnsi="Times New Roman"/>
          <w:b w:val="0"/>
          <w:i/>
        </w:rPr>
        <w:t xml:space="preserve"> 27</w:t>
      </w:r>
      <w:r w:rsidRPr="004E0642">
        <w:rPr>
          <w:rFonts w:ascii="Times New Roman" w:hAnsi="Times New Roman"/>
          <w:b w:val="0"/>
          <w:i/>
          <w:lang w:val="vi-VN"/>
        </w:rPr>
        <w:t xml:space="preserve"> tháng</w:t>
      </w:r>
      <w:r w:rsidRPr="004E0642">
        <w:rPr>
          <w:rFonts w:ascii="Times New Roman" w:hAnsi="Times New Roman"/>
          <w:b w:val="0"/>
          <w:i/>
        </w:rPr>
        <w:t xml:space="preserve"> 7 </w:t>
      </w:r>
      <w:r w:rsidRPr="004E0642">
        <w:rPr>
          <w:rFonts w:ascii="Times New Roman" w:hAnsi="Times New Roman"/>
          <w:b w:val="0"/>
          <w:i/>
          <w:lang w:val="vi-VN"/>
        </w:rPr>
        <w:t xml:space="preserve"> năm 201</w:t>
      </w:r>
      <w:r w:rsidRPr="004E0642">
        <w:rPr>
          <w:rFonts w:ascii="Times New Roman" w:hAnsi="Times New Roman"/>
          <w:b w:val="0"/>
          <w:i/>
        </w:rPr>
        <w:t>7</w:t>
      </w:r>
      <w:r w:rsidRPr="004E0642">
        <w:rPr>
          <w:rFonts w:ascii="Times New Roman" w:hAnsi="Times New Roman"/>
          <w:b w:val="0"/>
          <w:i/>
          <w:lang w:val="vi-VN"/>
        </w:rPr>
        <w:t xml:space="preserve"> của Bộ trưởng Bộ Khoa học và Công nghệ</w:t>
      </w:r>
      <w:r w:rsidRPr="004E0642">
        <w:rPr>
          <w:rFonts w:ascii="Times New Roman" w:hAnsi="Times New Roman"/>
          <w:b w:val="0"/>
          <w:i/>
        </w:rPr>
        <w:t>)</w:t>
      </w:r>
    </w:p>
    <w:p w:rsidR="00664589" w:rsidRPr="004E0642" w:rsidRDefault="00664589" w:rsidP="00664589">
      <w:pPr>
        <w:spacing w:before="120" w:after="120"/>
        <w:ind w:firstLine="720"/>
        <w:jc w:val="both"/>
        <w:rPr>
          <w:sz w:val="26"/>
          <w:szCs w:val="26"/>
        </w:rPr>
      </w:pPr>
      <w:r w:rsidRPr="004E0642">
        <w:rPr>
          <w:b/>
          <w:bCs/>
          <w:i/>
          <w:iCs/>
          <w:sz w:val="26"/>
          <w:szCs w:val="26"/>
        </w:rPr>
        <w:t>a. Trình tự thực hiện:</w:t>
      </w:r>
    </w:p>
    <w:p w:rsidR="00664589" w:rsidRPr="004E0642" w:rsidRDefault="00664589" w:rsidP="00664589">
      <w:pPr>
        <w:spacing w:after="120" w:line="380" w:lineRule="exact"/>
        <w:ind w:firstLine="720"/>
        <w:jc w:val="both"/>
        <w:rPr>
          <w:sz w:val="26"/>
          <w:szCs w:val="26"/>
        </w:rPr>
      </w:pPr>
      <w:r w:rsidRPr="004E0642">
        <w:rPr>
          <w:sz w:val="26"/>
          <w:szCs w:val="26"/>
        </w:rPr>
        <w:t xml:space="preserve">Bước 1: Tổ chức, cá nhân đề nghị phê duyệt bản kế hoạch ứng phó sự cố cấp cơ sở phải lập hồ sơ theo quy định và gửi 01 bộ hồ sơ về Sở Khoa học và Công nghệ . </w:t>
      </w:r>
    </w:p>
    <w:p w:rsidR="00664589" w:rsidRPr="004E0642" w:rsidRDefault="00664589" w:rsidP="00664589">
      <w:pPr>
        <w:spacing w:after="120" w:line="380" w:lineRule="exact"/>
        <w:ind w:firstLine="720"/>
        <w:jc w:val="both"/>
        <w:rPr>
          <w:sz w:val="26"/>
          <w:szCs w:val="26"/>
        </w:rPr>
      </w:pPr>
      <w:r w:rsidRPr="004E0642">
        <w:rPr>
          <w:sz w:val="26"/>
          <w:szCs w:val="26"/>
        </w:rPr>
        <w:t>Bước 2:Sở Khoa học và Công nghệ tiếp nhận và kiểm tra tính hợp lệ của hồ sơ theo quy định.</w:t>
      </w:r>
    </w:p>
    <w:p w:rsidR="00664589" w:rsidRPr="004E0642" w:rsidRDefault="00664589" w:rsidP="00664589">
      <w:pPr>
        <w:spacing w:before="120" w:after="120" w:line="320" w:lineRule="exact"/>
        <w:ind w:firstLine="720"/>
        <w:jc w:val="both"/>
        <w:rPr>
          <w:sz w:val="26"/>
          <w:szCs w:val="26"/>
        </w:rPr>
      </w:pPr>
      <w:r w:rsidRPr="004E0642">
        <w:rPr>
          <w:sz w:val="26"/>
          <w:szCs w:val="26"/>
        </w:rPr>
        <w:t xml:space="preserve">+ Trong thời gian 10 ngày làm việc, kể từ ngày nhận đủ hồ sơ hợp lệ, Sở Khoa học và Công nghệ tiến hành thẩm định hồ sơ và phê duyệt kế hoạch ứng phó sự cố bức xạ và hạt nhân nếu hồ sơ đáp ứng yêu cầu theo quy định. </w:t>
      </w:r>
    </w:p>
    <w:p w:rsidR="00664589" w:rsidRPr="004E0642" w:rsidRDefault="00664589" w:rsidP="00664589">
      <w:pPr>
        <w:spacing w:before="120" w:after="120" w:line="320" w:lineRule="exact"/>
        <w:ind w:firstLine="720"/>
        <w:jc w:val="both"/>
        <w:rPr>
          <w:sz w:val="26"/>
          <w:szCs w:val="26"/>
        </w:rPr>
      </w:pPr>
      <w:r w:rsidRPr="004E0642">
        <w:rPr>
          <w:sz w:val="26"/>
          <w:szCs w:val="26"/>
        </w:rPr>
        <w:t>+ Trường hợp không đồng ý phê duyệt, Sở Khoa học và Công nghệ phải trả lời bằng văn bản và nêu rõ lý do.</w:t>
      </w:r>
    </w:p>
    <w:p w:rsidR="00664589" w:rsidRPr="004E0642" w:rsidRDefault="00664589" w:rsidP="00664589">
      <w:pPr>
        <w:spacing w:before="120" w:after="12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Sở Khoa học và Công nghệ .</w:t>
      </w:r>
    </w:p>
    <w:p w:rsidR="00664589" w:rsidRPr="004E0642" w:rsidRDefault="00664589" w:rsidP="00664589">
      <w:pPr>
        <w:spacing w:before="120" w:after="120"/>
        <w:ind w:firstLine="720"/>
        <w:jc w:val="both"/>
        <w:rPr>
          <w:sz w:val="26"/>
          <w:szCs w:val="26"/>
        </w:rPr>
      </w:pPr>
      <w:r w:rsidRPr="004E0642">
        <w:rPr>
          <w:b/>
          <w:bCs/>
          <w:i/>
          <w:iCs/>
          <w:sz w:val="26"/>
          <w:szCs w:val="26"/>
        </w:rPr>
        <w:t>c. Thành phần, số lượng hồ sơ:</w:t>
      </w:r>
      <w:r w:rsidRPr="004E0642">
        <w:rPr>
          <w:sz w:val="26"/>
          <w:szCs w:val="26"/>
        </w:rPr>
        <w:t> </w:t>
      </w:r>
    </w:p>
    <w:p w:rsidR="00664589" w:rsidRPr="004E0642" w:rsidRDefault="00664589" w:rsidP="00664589">
      <w:pPr>
        <w:spacing w:before="120" w:after="120"/>
        <w:ind w:firstLine="720"/>
        <w:jc w:val="both"/>
        <w:rPr>
          <w:sz w:val="26"/>
          <w:szCs w:val="26"/>
        </w:rPr>
      </w:pPr>
      <w:r w:rsidRPr="004E0642">
        <w:rPr>
          <w:sz w:val="26"/>
          <w:szCs w:val="26"/>
        </w:rPr>
        <w:t>- Thành phần hồ sơ:</w:t>
      </w:r>
    </w:p>
    <w:p w:rsidR="00664589" w:rsidRPr="004E0642" w:rsidRDefault="00664589" w:rsidP="00664589">
      <w:pPr>
        <w:spacing w:before="120" w:after="120" w:line="320" w:lineRule="exact"/>
        <w:ind w:firstLine="720"/>
        <w:jc w:val="both"/>
        <w:rPr>
          <w:sz w:val="26"/>
          <w:szCs w:val="26"/>
        </w:rPr>
      </w:pPr>
      <w:r w:rsidRPr="004E0642">
        <w:rPr>
          <w:sz w:val="26"/>
          <w:szCs w:val="26"/>
        </w:rPr>
        <w:t xml:space="preserve">+ </w:t>
      </w:r>
      <w:r w:rsidRPr="004E0642">
        <w:rPr>
          <w:i/>
          <w:sz w:val="26"/>
          <w:szCs w:val="26"/>
        </w:rPr>
        <w:t>Công văn đề nghị phê duyệt kế hoạch ứng phó sự cố bức xạ và hạt nhân cấp cơ sở (bản chính);</w:t>
      </w:r>
    </w:p>
    <w:p w:rsidR="00664589" w:rsidRPr="004E0642" w:rsidRDefault="00664589" w:rsidP="00664589">
      <w:pPr>
        <w:spacing w:before="120" w:after="120" w:line="320" w:lineRule="exact"/>
        <w:ind w:firstLine="720"/>
        <w:jc w:val="both"/>
        <w:rPr>
          <w:i/>
          <w:sz w:val="26"/>
          <w:szCs w:val="26"/>
        </w:rPr>
      </w:pPr>
      <w:r w:rsidRPr="004E0642">
        <w:rPr>
          <w:i/>
          <w:sz w:val="26"/>
          <w:szCs w:val="26"/>
        </w:rPr>
        <w:t>+ Kế hoạch ứng phó sự cố bức xạ và hạt nhân cấp cơ sở.</w:t>
      </w:r>
    </w:p>
    <w:p w:rsidR="00664589" w:rsidRPr="004E0642" w:rsidRDefault="00664589" w:rsidP="00664589">
      <w:pPr>
        <w:spacing w:before="120" w:after="120"/>
        <w:ind w:firstLine="720"/>
        <w:jc w:val="both"/>
        <w:rPr>
          <w:sz w:val="26"/>
          <w:szCs w:val="26"/>
        </w:rPr>
      </w:pPr>
      <w:r w:rsidRPr="004E0642">
        <w:rPr>
          <w:sz w:val="26"/>
          <w:szCs w:val="26"/>
        </w:rPr>
        <w:t xml:space="preserve">- Số lượng hồ sơ: </w:t>
      </w:r>
    </w:p>
    <w:p w:rsidR="00664589" w:rsidRPr="004E0642" w:rsidRDefault="00664589" w:rsidP="00664589">
      <w:pPr>
        <w:spacing w:before="120" w:after="120"/>
        <w:ind w:firstLine="720"/>
        <w:jc w:val="both"/>
        <w:rPr>
          <w:i/>
          <w:sz w:val="26"/>
          <w:szCs w:val="26"/>
        </w:rPr>
      </w:pPr>
      <w:r w:rsidRPr="004E0642">
        <w:rPr>
          <w:sz w:val="26"/>
          <w:szCs w:val="26"/>
        </w:rPr>
        <w:t xml:space="preserve">+ </w:t>
      </w:r>
      <w:r w:rsidRPr="004E0642">
        <w:rPr>
          <w:i/>
          <w:sz w:val="26"/>
          <w:szCs w:val="26"/>
        </w:rPr>
        <w:t>03 Bản kế hoạch ứng phó sự cố bức xạ và hạt nhân cấp cơ sở(bản kế hoạch phải có chữ ký của người đứng đầu cơ sở và dấu của cơ sở, có dấu giáp lai các trang và có trang bìa cứng).</w:t>
      </w:r>
    </w:p>
    <w:p w:rsidR="00664589" w:rsidRPr="004E0642" w:rsidRDefault="00664589" w:rsidP="00664589">
      <w:pPr>
        <w:spacing w:before="120" w:after="120"/>
        <w:ind w:firstLine="720"/>
        <w:jc w:val="both"/>
        <w:rPr>
          <w:sz w:val="26"/>
          <w:szCs w:val="26"/>
        </w:rPr>
      </w:pPr>
      <w:r w:rsidRPr="004E0642">
        <w:rPr>
          <w:b/>
          <w:bCs/>
          <w:i/>
          <w:iCs/>
          <w:sz w:val="26"/>
          <w:szCs w:val="26"/>
        </w:rPr>
        <w:t xml:space="preserve">d. Thời hạn giải quyết: </w:t>
      </w:r>
      <w:r w:rsidRPr="004E0642">
        <w:rPr>
          <w:bCs/>
          <w:i/>
          <w:iCs/>
          <w:sz w:val="26"/>
          <w:szCs w:val="26"/>
        </w:rPr>
        <w:t>10 ngày</w:t>
      </w:r>
      <w:r w:rsidRPr="004E0642">
        <w:rPr>
          <w:sz w:val="26"/>
          <w:szCs w:val="26"/>
        </w:rPr>
        <w:t xml:space="preserve"> kể từ ngày nhận đủ hồ sơ hợp lệ.</w:t>
      </w:r>
    </w:p>
    <w:p w:rsidR="00664589" w:rsidRPr="004E0642" w:rsidRDefault="00664589" w:rsidP="00664589">
      <w:pPr>
        <w:spacing w:before="120" w:after="120"/>
        <w:ind w:firstLine="720"/>
        <w:jc w:val="both"/>
        <w:rPr>
          <w:sz w:val="26"/>
          <w:szCs w:val="26"/>
        </w:rPr>
      </w:pPr>
      <w:r w:rsidRPr="004E0642">
        <w:rPr>
          <w:b/>
          <w:bCs/>
          <w:i/>
          <w:iCs/>
          <w:sz w:val="26"/>
          <w:szCs w:val="26"/>
        </w:rPr>
        <w:t>đ. Đối tượng thực hiện thủ tục hành chính:</w:t>
      </w:r>
      <w:r w:rsidRPr="004E0642">
        <w:rPr>
          <w:sz w:val="26"/>
          <w:szCs w:val="26"/>
        </w:rPr>
        <w:t xml:space="preserve"> Tổ chức, cá nhân đề nghị phê duyệt bản kế hoạch ứng phó sự cố cấp cơ sở.</w:t>
      </w:r>
    </w:p>
    <w:p w:rsidR="00664589" w:rsidRPr="004E0642" w:rsidRDefault="00664589" w:rsidP="00664589">
      <w:pPr>
        <w:spacing w:before="120" w:after="120"/>
        <w:ind w:firstLine="720"/>
        <w:jc w:val="both"/>
        <w:rPr>
          <w:sz w:val="26"/>
          <w:szCs w:val="26"/>
        </w:rPr>
      </w:pPr>
      <w:r w:rsidRPr="004E0642">
        <w:rPr>
          <w:b/>
          <w:bCs/>
          <w:i/>
          <w:iCs/>
          <w:sz w:val="26"/>
          <w:szCs w:val="26"/>
        </w:rPr>
        <w:t xml:space="preserve">e. Cơ quan thực hiện thủ tục hành chính: </w:t>
      </w:r>
      <w:r w:rsidRPr="004E0642">
        <w:rPr>
          <w:sz w:val="26"/>
          <w:szCs w:val="26"/>
        </w:rPr>
        <w:t>Sở Khoa học và Công nghệ .</w:t>
      </w:r>
    </w:p>
    <w:p w:rsidR="00664589" w:rsidRPr="004E0642" w:rsidRDefault="00664589" w:rsidP="00664589">
      <w:pPr>
        <w:spacing w:before="120" w:after="120"/>
        <w:ind w:firstLine="720"/>
        <w:jc w:val="both"/>
        <w:rPr>
          <w:sz w:val="26"/>
          <w:szCs w:val="26"/>
        </w:rPr>
      </w:pPr>
      <w:r w:rsidRPr="004E0642">
        <w:rPr>
          <w:b/>
          <w:bCs/>
          <w:i/>
          <w:iCs/>
          <w:sz w:val="26"/>
          <w:szCs w:val="26"/>
        </w:rPr>
        <w:t>g. Kết quả thực hiện thủ tục hành chính:</w:t>
      </w:r>
      <w:r w:rsidRPr="004E0642">
        <w:rPr>
          <w:sz w:val="26"/>
          <w:szCs w:val="26"/>
        </w:rPr>
        <w:t xml:space="preserve"> Quyết định phê duyệt kế hoạch ứng phó sự cố cấp cơ sở.</w:t>
      </w:r>
    </w:p>
    <w:p w:rsidR="00664589" w:rsidRPr="004E0642" w:rsidRDefault="00664589" w:rsidP="00664589">
      <w:pPr>
        <w:spacing w:before="120" w:after="120"/>
        <w:ind w:firstLine="720"/>
        <w:jc w:val="both"/>
        <w:rPr>
          <w:sz w:val="26"/>
          <w:szCs w:val="26"/>
        </w:rPr>
      </w:pPr>
      <w:r w:rsidRPr="004E0642">
        <w:rPr>
          <w:b/>
          <w:bCs/>
          <w:i/>
          <w:iCs/>
          <w:sz w:val="26"/>
          <w:szCs w:val="26"/>
        </w:rPr>
        <w:t>h. Phí:</w:t>
      </w:r>
      <w:r w:rsidRPr="004E0642">
        <w:rPr>
          <w:rStyle w:val="FootnoteReference"/>
          <w:b/>
          <w:i/>
          <w:iCs/>
          <w:sz w:val="26"/>
          <w:szCs w:val="26"/>
        </w:rPr>
        <w:footnoteReference w:id="2"/>
      </w:r>
      <w:r w:rsidRPr="004E0642">
        <w:rPr>
          <w:i/>
          <w:sz w:val="26"/>
          <w:szCs w:val="26"/>
        </w:rPr>
        <w:t>Thẩm định để phê duyệt đối với Kế hoạch ứng phó sự cố cấp cơ sở thuộc nhóm nguy cơ IV - Cơ sở tiến hành công việc bức xạ sử dụng nguồn phóng xạ thuộc nhóm 5 theo quy định tại QCVN 6:2010/BKHCN, thiết bị phát tia X quang chẩn đoán y tế và thiết bị phát tia X khác: 500.000 đồng/1 bản kế hoạch.</w:t>
      </w:r>
    </w:p>
    <w:p w:rsidR="00664589" w:rsidRPr="004E0642" w:rsidRDefault="00664589" w:rsidP="00664589">
      <w:pPr>
        <w:spacing w:before="120" w:after="120"/>
        <w:ind w:firstLine="720"/>
        <w:jc w:val="both"/>
        <w:rPr>
          <w:sz w:val="26"/>
          <w:szCs w:val="26"/>
        </w:rPr>
      </w:pPr>
      <w:r w:rsidRPr="004E0642">
        <w:rPr>
          <w:b/>
          <w:bCs/>
          <w:i/>
          <w:iCs/>
          <w:sz w:val="26"/>
          <w:szCs w:val="26"/>
        </w:rPr>
        <w:t>i.Tên mẫu đơn, mẫu tờ khai:</w:t>
      </w:r>
      <w:r w:rsidRPr="004E0642">
        <w:rPr>
          <w:sz w:val="26"/>
          <w:szCs w:val="26"/>
        </w:rPr>
        <w:t xml:space="preserve"> không</w:t>
      </w:r>
    </w:p>
    <w:p w:rsidR="00664589" w:rsidRPr="004E0642" w:rsidRDefault="00664589" w:rsidP="00664589">
      <w:pPr>
        <w:spacing w:before="120" w:after="120"/>
        <w:ind w:firstLine="720"/>
        <w:jc w:val="both"/>
        <w:rPr>
          <w:sz w:val="26"/>
          <w:szCs w:val="26"/>
        </w:rPr>
      </w:pPr>
      <w:r w:rsidRPr="004E0642">
        <w:rPr>
          <w:b/>
          <w:bCs/>
          <w:i/>
          <w:iCs/>
          <w:sz w:val="26"/>
          <w:szCs w:val="26"/>
        </w:rPr>
        <w:t>k.Yêu cầu, điều kiện thực hiện thủ tục hành chính:</w:t>
      </w:r>
      <w:r w:rsidRPr="004E0642">
        <w:rPr>
          <w:sz w:val="26"/>
          <w:szCs w:val="26"/>
        </w:rPr>
        <w:t xml:space="preserve"> không.</w:t>
      </w:r>
    </w:p>
    <w:p w:rsidR="00664589" w:rsidRPr="004E0642" w:rsidRDefault="00664589" w:rsidP="00664589">
      <w:pPr>
        <w:spacing w:before="120" w:after="120"/>
        <w:ind w:firstLine="720"/>
        <w:jc w:val="both"/>
        <w:rPr>
          <w:sz w:val="26"/>
          <w:szCs w:val="26"/>
        </w:rPr>
      </w:pPr>
      <w:r w:rsidRPr="004E0642">
        <w:rPr>
          <w:b/>
          <w:bCs/>
          <w:i/>
          <w:iCs/>
          <w:sz w:val="26"/>
          <w:szCs w:val="26"/>
        </w:rPr>
        <w:lastRenderedPageBreak/>
        <w:t>l. Căn cứ pháp lý của thủ tục hành chính:</w:t>
      </w:r>
    </w:p>
    <w:p w:rsidR="00664589" w:rsidRPr="004E0642" w:rsidRDefault="00664589" w:rsidP="00664589">
      <w:pPr>
        <w:spacing w:before="120" w:after="120"/>
        <w:ind w:firstLine="720"/>
        <w:jc w:val="both"/>
        <w:rPr>
          <w:sz w:val="26"/>
          <w:szCs w:val="26"/>
        </w:rPr>
      </w:pPr>
      <w:r w:rsidRPr="004E0642">
        <w:rPr>
          <w:sz w:val="26"/>
          <w:szCs w:val="26"/>
        </w:rPr>
        <w:t xml:space="preserve">- </w:t>
      </w:r>
      <w:hyperlink r:id="rId7" w:history="1">
        <w:r w:rsidRPr="004E0642">
          <w:rPr>
            <w:rStyle w:val="Hyperlink"/>
            <w:szCs w:val="26"/>
          </w:rPr>
          <w:t>Luật năng lượng nguyên tử số 18/2008/QH12</w:t>
        </w:r>
      </w:hyperlink>
      <w:r w:rsidRPr="004E0642">
        <w:rPr>
          <w:sz w:val="26"/>
          <w:szCs w:val="26"/>
        </w:rPr>
        <w:t xml:space="preserve"> ngày 03/6/2008.</w:t>
      </w:r>
    </w:p>
    <w:p w:rsidR="00664589" w:rsidRPr="004E0642" w:rsidRDefault="00664589" w:rsidP="00664589">
      <w:pPr>
        <w:spacing w:before="120" w:after="120" w:line="320" w:lineRule="exact"/>
        <w:ind w:firstLine="720"/>
        <w:jc w:val="both"/>
        <w:rPr>
          <w:sz w:val="26"/>
          <w:szCs w:val="26"/>
        </w:rPr>
      </w:pPr>
      <w:r w:rsidRPr="004E0642">
        <w:rPr>
          <w:sz w:val="26"/>
          <w:szCs w:val="26"/>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664589" w:rsidRPr="004E0642" w:rsidRDefault="00664589" w:rsidP="00664589">
      <w:pPr>
        <w:spacing w:before="120" w:after="120" w:line="320" w:lineRule="exact"/>
        <w:ind w:firstLine="720"/>
        <w:jc w:val="both"/>
        <w:rPr>
          <w:sz w:val="26"/>
          <w:szCs w:val="26"/>
        </w:rPr>
      </w:pPr>
      <w:r w:rsidRPr="004E0642">
        <w:rPr>
          <w:sz w:val="26"/>
          <w:szCs w:val="26"/>
        </w:rPr>
        <w:t>- Thông tư số 08/2010/TT-BKHCN ngày 22/7/2010 của Bộ trưởng Bộ Khoa học và Công nghệ hướng dẫn việc khai báo, cấp phép và cấp chứng chỉ nhân viên bức xạ.</w:t>
      </w:r>
    </w:p>
    <w:p w:rsidR="00664589" w:rsidRPr="004E0642" w:rsidRDefault="00664589" w:rsidP="00664589">
      <w:pPr>
        <w:pStyle w:val="Footer"/>
        <w:widowControl w:val="0"/>
        <w:ind w:firstLine="720"/>
        <w:jc w:val="both"/>
        <w:rPr>
          <w:rStyle w:val="Hyperlink"/>
          <w:i/>
          <w:szCs w:val="26"/>
        </w:rPr>
      </w:pPr>
      <w:r w:rsidRPr="004E0642">
        <w:rPr>
          <w:i/>
          <w:sz w:val="26"/>
          <w:szCs w:val="26"/>
          <w:lang w:val="vi-VN"/>
        </w:rPr>
        <w:t>- Thông tư số</w:t>
      </w:r>
      <w:hyperlink r:id="rId8" w:tgtFrame="_blank" w:history="1">
        <w:r w:rsidRPr="004E0642">
          <w:rPr>
            <w:rStyle w:val="Hyperlink"/>
            <w:i/>
            <w:szCs w:val="26"/>
          </w:rPr>
          <w:t>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F17399" w:rsidRPr="00664589" w:rsidRDefault="00F17399" w:rsidP="00664589">
      <w:pPr>
        <w:rPr>
          <w:szCs w:val="28"/>
        </w:rPr>
      </w:pPr>
    </w:p>
    <w:sectPr w:rsidR="00F17399" w:rsidRPr="00664589" w:rsidSect="006261DE">
      <w:headerReference w:type="even" r:id="rId9"/>
      <w:footerReference w:type="even" r:id="rId10"/>
      <w:footerReference w:type="default" r:id="rId11"/>
      <w:footerReference w:type="first" r:id="rId12"/>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F0" w:rsidRDefault="00F75DF0" w:rsidP="00887354">
      <w:r>
        <w:separator/>
      </w:r>
    </w:p>
  </w:endnote>
  <w:endnote w:type="continuationSeparator" w:id="1">
    <w:p w:rsidR="00F75DF0" w:rsidRDefault="00F75DF0"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F75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BC37A9"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664589">
      <w:rPr>
        <w:rStyle w:val="PageNumber"/>
        <w:noProof/>
      </w:rPr>
      <w:t>1</w:t>
    </w:r>
    <w:r w:rsidRPr="00032ADE">
      <w:rPr>
        <w:rStyle w:val="PageNumber"/>
      </w:rPr>
      <w:fldChar w:fldCharType="end"/>
    </w:r>
  </w:p>
  <w:p w:rsidR="009D7DBD" w:rsidRPr="006B3321" w:rsidRDefault="00F75DF0">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F0" w:rsidRDefault="00F75DF0" w:rsidP="00887354">
      <w:r>
        <w:separator/>
      </w:r>
    </w:p>
  </w:footnote>
  <w:footnote w:type="continuationSeparator" w:id="1">
    <w:p w:rsidR="00F75DF0" w:rsidRDefault="00F75DF0" w:rsidP="00887354">
      <w:r>
        <w:continuationSeparator/>
      </w:r>
    </w:p>
  </w:footnote>
  <w:footnote w:id="2">
    <w:p w:rsidR="00664589" w:rsidRDefault="00664589" w:rsidP="00664589">
      <w:pPr>
        <w:pStyle w:val="FootnoteText"/>
      </w:pPr>
      <w:r>
        <w:rPr>
          <w:rStyle w:val="FootnoteReference"/>
        </w:rPr>
        <w:footnoteRef/>
      </w:r>
      <w:r w:rsidRPr="00B85561">
        <w:rPr>
          <w:i/>
        </w:rPr>
        <w:t xml:space="preserve">Sửa đổi, bổ sung theo quy định tại Mục </w:t>
      </w:r>
      <w:r>
        <w:rPr>
          <w:i/>
        </w:rPr>
        <w:t>III</w:t>
      </w:r>
      <w:r w:rsidRPr="00B85561">
        <w:rPr>
          <w:i/>
        </w:rPr>
        <w:t xml:space="preserve"> 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F75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5F76"/>
    <w:rsid w:val="00442F12"/>
    <w:rsid w:val="00460A12"/>
    <w:rsid w:val="006261DE"/>
    <w:rsid w:val="00664589"/>
    <w:rsid w:val="006940AD"/>
    <w:rsid w:val="00746413"/>
    <w:rsid w:val="00814749"/>
    <w:rsid w:val="00845E6A"/>
    <w:rsid w:val="00865CD0"/>
    <w:rsid w:val="00887354"/>
    <w:rsid w:val="008972C6"/>
    <w:rsid w:val="008E4B82"/>
    <w:rsid w:val="008F199C"/>
    <w:rsid w:val="00950722"/>
    <w:rsid w:val="00A61248"/>
    <w:rsid w:val="00AD6590"/>
    <w:rsid w:val="00AD6632"/>
    <w:rsid w:val="00B23CF8"/>
    <w:rsid w:val="00BB12C5"/>
    <w:rsid w:val="00BC37A9"/>
    <w:rsid w:val="00BE4DDB"/>
    <w:rsid w:val="00C25057"/>
    <w:rsid w:val="00C45085"/>
    <w:rsid w:val="00C6296B"/>
    <w:rsid w:val="00D20D8C"/>
    <w:rsid w:val="00D61B8D"/>
    <w:rsid w:val="00DD3354"/>
    <w:rsid w:val="00E71B49"/>
    <w:rsid w:val="00F17399"/>
    <w:rsid w:val="00F7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454a9f8e3c7448fd999df81a5e4e09e6-TTcapphep.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vn/Attachments/cd1f0b6e756f493783eb051435fd9ad5-luat%20nang%20luong%20nguyen%20tu.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2019-06-06T07:17:00Z</dcterms:created>
  <dcterms:modified xsi:type="dcterms:W3CDTF">2019-06-06T07:17:00Z</dcterms:modified>
</cp:coreProperties>
</file>